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98541" w14:textId="2CA1CA63" w:rsidR="0053593E" w:rsidRPr="0053593E" w:rsidRDefault="0053593E" w:rsidP="0053593E">
      <w:pPr>
        <w:jc w:val="both"/>
        <w:rPr>
          <w:b/>
          <w:bCs/>
        </w:rPr>
      </w:pPr>
      <w:r w:rsidRPr="0053593E">
        <w:rPr>
          <w:b/>
          <w:bCs/>
        </w:rPr>
        <w:t>Conditions Générales de Vente (CGV)</w:t>
      </w:r>
      <w:r w:rsidR="00BB42E1">
        <w:rPr>
          <w:b/>
          <w:bCs/>
        </w:rPr>
        <w:t xml:space="preserve"> – conditions générales d’utilisation (CGU)</w:t>
      </w:r>
    </w:p>
    <w:p w14:paraId="67B9D498" w14:textId="77777777" w:rsidR="0053593E" w:rsidRPr="0053593E" w:rsidRDefault="0053593E" w:rsidP="0053593E">
      <w:pPr>
        <w:jc w:val="both"/>
        <w:rPr>
          <w:b/>
          <w:bCs/>
        </w:rPr>
      </w:pPr>
      <w:r w:rsidRPr="0053593E">
        <w:rPr>
          <w:b/>
          <w:bCs/>
        </w:rPr>
        <w:t>Préambule et Champ d'Application</w:t>
      </w:r>
    </w:p>
    <w:p w14:paraId="5F1DBE15" w14:textId="28CB4453" w:rsidR="0053593E" w:rsidRPr="0053593E" w:rsidRDefault="0053593E" w:rsidP="0053593E">
      <w:pPr>
        <w:jc w:val="both"/>
      </w:pPr>
      <w:r w:rsidRPr="0053593E">
        <w:t xml:space="preserve">Les présentes Conditions Générales de Vente (ci-après « CGV ») régissent les relations contractuelles entre </w:t>
      </w:r>
      <w:r>
        <w:t>Stéphanie Perin – Altus Elite</w:t>
      </w:r>
      <w:r w:rsidRPr="0053593E">
        <w:t xml:space="preserve">, dont le siège social est établi à </w:t>
      </w:r>
      <w:r>
        <w:t>5570 Beauraing</w:t>
      </w:r>
      <w:r w:rsidRPr="0053593E">
        <w:t xml:space="preserve">, enregistrée à la Banque Carrefour des Entreprises (BCE) sous le numéro </w:t>
      </w:r>
      <w:r w:rsidRPr="0053593E">
        <w:rPr>
          <w:b/>
          <w:bCs/>
        </w:rPr>
        <w:t>BE</w:t>
      </w:r>
      <w:r>
        <w:rPr>
          <w:b/>
          <w:bCs/>
        </w:rPr>
        <w:t xml:space="preserve">0873.822.124 </w:t>
      </w:r>
      <w:r w:rsidRPr="0053593E">
        <w:t xml:space="preserve">(ci-après « Le Vendeur ») et toute personne physique ou morale achetant des services ou produits via le site internet </w:t>
      </w:r>
      <w:r>
        <w:t>www.altus-elite.com</w:t>
      </w:r>
      <w:r w:rsidRPr="0053593E">
        <w:t xml:space="preserve"> (ci-après « Le Client »).</w:t>
      </w:r>
    </w:p>
    <w:p w14:paraId="131216EE" w14:textId="77777777" w:rsidR="0053593E" w:rsidRPr="0053593E" w:rsidRDefault="0053593E" w:rsidP="0053593E">
      <w:pPr>
        <w:jc w:val="both"/>
      </w:pPr>
      <w:r w:rsidRPr="0053593E">
        <w:t>L'acceptation des CGV est formalisée par le fait de cocher la case prévue à cet effet lors de la validation de la commande.</w:t>
      </w:r>
    </w:p>
    <w:p w14:paraId="38066022" w14:textId="77777777" w:rsidR="0053593E" w:rsidRDefault="0053593E" w:rsidP="0053593E">
      <w:pPr>
        <w:jc w:val="both"/>
        <w:rPr>
          <w:b/>
          <w:bCs/>
        </w:rPr>
      </w:pPr>
      <w:r w:rsidRPr="0053593E">
        <w:rPr>
          <w:b/>
          <w:bCs/>
        </w:rPr>
        <w:t>Article 1 – Produits et Services</w:t>
      </w:r>
    </w:p>
    <w:p w14:paraId="15F292EC" w14:textId="77777777" w:rsidR="00981BCF" w:rsidRPr="00190957" w:rsidRDefault="00981BCF" w:rsidP="00981BCF">
      <w:r w:rsidRPr="00190957">
        <w:t>Altus Élite propose des :</w:t>
      </w:r>
    </w:p>
    <w:p w14:paraId="15FB20D5" w14:textId="77777777" w:rsidR="00981BCF" w:rsidRPr="00190957" w:rsidRDefault="00981BCF" w:rsidP="00981BCF">
      <w:pPr>
        <w:numPr>
          <w:ilvl w:val="0"/>
          <w:numId w:val="9"/>
        </w:numPr>
      </w:pPr>
      <w:r w:rsidRPr="00190957">
        <w:t>formations en ligne</w:t>
      </w:r>
    </w:p>
    <w:p w14:paraId="5E274E97" w14:textId="77777777" w:rsidR="00981BCF" w:rsidRPr="00190957" w:rsidRDefault="00981BCF" w:rsidP="00981BCF">
      <w:pPr>
        <w:numPr>
          <w:ilvl w:val="0"/>
          <w:numId w:val="9"/>
        </w:numPr>
      </w:pPr>
      <w:r w:rsidRPr="00190957">
        <w:t>contenus numériques (PDF, audios, vidéos)</w:t>
      </w:r>
    </w:p>
    <w:p w14:paraId="24FECE13" w14:textId="77777777" w:rsidR="00981BCF" w:rsidRDefault="00981BCF" w:rsidP="00981BCF">
      <w:pPr>
        <w:numPr>
          <w:ilvl w:val="0"/>
          <w:numId w:val="9"/>
        </w:numPr>
      </w:pPr>
      <w:r w:rsidRPr="00190957">
        <w:t>exercices pratiques</w:t>
      </w:r>
    </w:p>
    <w:p w14:paraId="086D13D7" w14:textId="7F1ED308" w:rsidR="00981BCF" w:rsidRPr="00190957" w:rsidRDefault="00CF0E18" w:rsidP="00981BCF">
      <w:pPr>
        <w:numPr>
          <w:ilvl w:val="0"/>
          <w:numId w:val="9"/>
        </w:numPr>
      </w:pPr>
      <w:r>
        <w:t>un service d’accompagnement individuel par mail</w:t>
      </w:r>
      <w:r w:rsidR="005947EE">
        <w:t xml:space="preserve"> </w:t>
      </w:r>
    </w:p>
    <w:p w14:paraId="5B598FE8" w14:textId="5E3472DC" w:rsidR="00981BCF" w:rsidRPr="0053593E" w:rsidRDefault="00981BCF" w:rsidP="00981BCF">
      <w:pPr>
        <w:jc w:val="both"/>
        <w:rPr>
          <w:b/>
          <w:bCs/>
        </w:rPr>
      </w:pPr>
      <w:r w:rsidRPr="00190957">
        <w:t>Les contenus sont accessibles exclusivement sous forme digitale.</w:t>
      </w:r>
      <w:r w:rsidRPr="00190957">
        <w:br/>
        <w:t>Aucun produit physique n’est expédié.</w:t>
      </w:r>
    </w:p>
    <w:p w14:paraId="55B20A4C" w14:textId="5507F78F" w:rsidR="0053593E" w:rsidRPr="0053593E" w:rsidRDefault="0053593E" w:rsidP="0053593E">
      <w:pPr>
        <w:jc w:val="both"/>
        <w:rPr>
          <w:b/>
          <w:bCs/>
        </w:rPr>
      </w:pPr>
      <w:r w:rsidRPr="0053593E">
        <w:rPr>
          <w:b/>
          <w:bCs/>
        </w:rPr>
        <w:t>Article 2 – Prix et Taux de TVA</w:t>
      </w:r>
    </w:p>
    <w:p w14:paraId="490DF61E" w14:textId="77777777" w:rsidR="0053593E" w:rsidRDefault="0053593E" w:rsidP="0053593E">
      <w:pPr>
        <w:jc w:val="both"/>
      </w:pPr>
      <w:r w:rsidRPr="0053593E">
        <w:t xml:space="preserve">2.1. Les prix des produits et services sont indiqués en Euros et s'entendent </w:t>
      </w:r>
      <w:r w:rsidRPr="0053593E">
        <w:rPr>
          <w:b/>
          <w:bCs/>
        </w:rPr>
        <w:t>toutes taxes comprises (TTC)</w:t>
      </w:r>
      <w:r w:rsidRPr="0053593E">
        <w:t xml:space="preserve">. </w:t>
      </w:r>
    </w:p>
    <w:p w14:paraId="2A41F4F4" w14:textId="79583C4B" w:rsidR="0053593E" w:rsidRPr="0053593E" w:rsidRDefault="0053593E" w:rsidP="0053593E">
      <w:pPr>
        <w:jc w:val="both"/>
      </w:pPr>
      <w:r w:rsidRPr="0053593E">
        <w:t>2.2. Le Vendeur est soumis aux taux de TVA belges en vigueur :</w:t>
      </w:r>
    </w:p>
    <w:p w14:paraId="3F5F0B55" w14:textId="77777777" w:rsidR="0053593E" w:rsidRPr="0053593E" w:rsidRDefault="0053593E" w:rsidP="0053593E">
      <w:pPr>
        <w:numPr>
          <w:ilvl w:val="0"/>
          <w:numId w:val="2"/>
        </w:numPr>
        <w:jc w:val="both"/>
      </w:pPr>
      <w:r w:rsidRPr="0053593E">
        <w:t xml:space="preserve">Les </w:t>
      </w:r>
      <w:r w:rsidRPr="0053593E">
        <w:rPr>
          <w:b/>
          <w:bCs/>
        </w:rPr>
        <w:t>E-books</w:t>
      </w:r>
      <w:r w:rsidRPr="0053593E">
        <w:t xml:space="preserve"> sont soumis au taux réduit de </w:t>
      </w:r>
      <w:r w:rsidRPr="0053593E">
        <w:rPr>
          <w:b/>
          <w:bCs/>
        </w:rPr>
        <w:t>6 % de TVA</w:t>
      </w:r>
      <w:r w:rsidRPr="0053593E">
        <w:t>.</w:t>
      </w:r>
    </w:p>
    <w:p w14:paraId="3C429BCA" w14:textId="37A7B3E4" w:rsidR="0053593E" w:rsidRPr="0053593E" w:rsidRDefault="0053593E" w:rsidP="0053593E">
      <w:pPr>
        <w:jc w:val="both"/>
      </w:pPr>
      <w:r w:rsidRPr="0053593E">
        <w:t>2.3. Le Vendeur se réserve le droit de modifier ses prix à tout moment, mais les produits et services seront facturés sur la base des tarifs en vigueur au moment de la validation de la commande.</w:t>
      </w:r>
    </w:p>
    <w:p w14:paraId="625F5B0A" w14:textId="77777777" w:rsidR="0053593E" w:rsidRPr="0053593E" w:rsidRDefault="0053593E" w:rsidP="0053593E">
      <w:pPr>
        <w:jc w:val="both"/>
        <w:rPr>
          <w:b/>
          <w:bCs/>
        </w:rPr>
      </w:pPr>
      <w:r w:rsidRPr="0053593E">
        <w:rPr>
          <w:b/>
          <w:bCs/>
        </w:rPr>
        <w:t>Article 3 – Commande et Conclusion du Contrat</w:t>
      </w:r>
    </w:p>
    <w:p w14:paraId="7F34737C" w14:textId="77777777" w:rsidR="0053593E" w:rsidRDefault="0053593E" w:rsidP="0053593E">
      <w:pPr>
        <w:jc w:val="both"/>
      </w:pPr>
      <w:r w:rsidRPr="0053593E">
        <w:t>La passation de commande sur le Site implique une obligation de paiement. Le contrat est réputé conclu au moment où le Client valide sa commande après avoir vérifié le détail de celle-ci et confirmé le paiement.</w:t>
      </w:r>
    </w:p>
    <w:p w14:paraId="40594A7F" w14:textId="77777777" w:rsidR="00855D6F" w:rsidRPr="00855D6F" w:rsidRDefault="00855D6F" w:rsidP="00855D6F">
      <w:pPr>
        <w:jc w:val="both"/>
        <w:rPr>
          <w:b/>
          <w:bCs/>
        </w:rPr>
      </w:pPr>
      <w:r w:rsidRPr="00855D6F">
        <w:rPr>
          <w:b/>
          <w:bCs/>
        </w:rPr>
        <w:t>3 bis.1. Durée d'Accès et d'Utilisation des Services</w:t>
      </w:r>
    </w:p>
    <w:p w14:paraId="3C8BC8FF" w14:textId="65A417AB" w:rsidR="00855D6F" w:rsidRPr="00855D6F" w:rsidRDefault="00855D6F" w:rsidP="00855D6F">
      <w:pPr>
        <w:numPr>
          <w:ilvl w:val="0"/>
          <w:numId w:val="4"/>
        </w:numPr>
        <w:jc w:val="both"/>
      </w:pPr>
      <w:r w:rsidRPr="00855D6F">
        <w:rPr>
          <w:b/>
          <w:bCs/>
        </w:rPr>
        <w:t>Accès aux E-books</w:t>
      </w:r>
      <w:r w:rsidR="005947EE">
        <w:rPr>
          <w:b/>
          <w:bCs/>
        </w:rPr>
        <w:t xml:space="preserve"> </w:t>
      </w:r>
      <w:r w:rsidRPr="00855D6F">
        <w:rPr>
          <w:b/>
          <w:bCs/>
        </w:rPr>
        <w:t>:</w:t>
      </w:r>
      <w:r w:rsidRPr="00855D6F">
        <w:t xml:space="preserve"> Le Client bénéficie d'un accès illimité et permanent à l'intégralité des E-books à compter de la date de la confirmation de l'achat.</w:t>
      </w:r>
    </w:p>
    <w:p w14:paraId="55839910" w14:textId="1CDFB0AF" w:rsidR="00BC6B82" w:rsidRDefault="005947EE" w:rsidP="007842B9">
      <w:pPr>
        <w:numPr>
          <w:ilvl w:val="0"/>
          <w:numId w:val="4"/>
        </w:numPr>
        <w:rPr>
          <w:b/>
          <w:bCs/>
        </w:rPr>
      </w:pPr>
      <w:r w:rsidRPr="005947EE">
        <w:rPr>
          <w:b/>
          <w:bCs/>
        </w:rPr>
        <w:t>un service d’accompagnement individuel</w:t>
      </w:r>
      <w:r>
        <w:rPr>
          <w:b/>
          <w:bCs/>
        </w:rPr>
        <w:t> :</w:t>
      </w:r>
      <w:r w:rsidR="00C35CAF">
        <w:rPr>
          <w:b/>
          <w:bCs/>
        </w:rPr>
        <w:t xml:space="preserve"> </w:t>
      </w:r>
      <w:r w:rsidR="00C35CAF" w:rsidRPr="00C35CAF">
        <w:t>il est</w:t>
      </w:r>
      <w:r w:rsidR="00C35CAF">
        <w:t xml:space="preserve"> </w:t>
      </w:r>
      <w:r w:rsidR="00855D6F" w:rsidRPr="00855D6F">
        <w:t xml:space="preserve">dispensé par e-mail  </w:t>
      </w:r>
      <w:r w:rsidR="00C35CAF">
        <w:t xml:space="preserve">pendant toute la durée prévue pour les modules de formation </w:t>
      </w:r>
      <w:r w:rsidR="007842B9">
        <w:t>d’une durée de 8 semaines.</w:t>
      </w:r>
    </w:p>
    <w:p w14:paraId="3088599C" w14:textId="77777777" w:rsidR="00855D6F" w:rsidRDefault="00855D6F" w:rsidP="0053593E">
      <w:pPr>
        <w:jc w:val="both"/>
        <w:rPr>
          <w:b/>
          <w:bCs/>
        </w:rPr>
      </w:pPr>
    </w:p>
    <w:p w14:paraId="13A89A51" w14:textId="77777777" w:rsidR="00016693" w:rsidRPr="0053593E" w:rsidRDefault="00016693" w:rsidP="0053593E">
      <w:pPr>
        <w:jc w:val="both"/>
      </w:pPr>
    </w:p>
    <w:p w14:paraId="1A3F489F" w14:textId="14DDF32C" w:rsidR="0053593E" w:rsidRPr="0053593E" w:rsidRDefault="0053593E" w:rsidP="0053593E">
      <w:pPr>
        <w:jc w:val="both"/>
        <w:rPr>
          <w:b/>
          <w:bCs/>
        </w:rPr>
      </w:pPr>
      <w:r w:rsidRPr="0053593E">
        <w:rPr>
          <w:b/>
          <w:bCs/>
        </w:rPr>
        <w:lastRenderedPageBreak/>
        <w:t>Article 4 – Paiement</w:t>
      </w:r>
    </w:p>
    <w:p w14:paraId="7FEB070D" w14:textId="77777777" w:rsidR="005612B3" w:rsidRDefault="005612B3" w:rsidP="005612B3">
      <w:pPr>
        <w:jc w:val="both"/>
        <w:rPr>
          <w:b/>
          <w:bCs/>
        </w:rPr>
      </w:pPr>
      <w:r w:rsidRPr="005612B3">
        <w:rPr>
          <w:b/>
          <w:bCs/>
        </w:rPr>
        <w:t>4.1. Moyens de Paiement Acceptés</w:t>
      </w:r>
    </w:p>
    <w:p w14:paraId="59B6CB50" w14:textId="01A6154A" w:rsidR="005612B3" w:rsidRPr="005612B3" w:rsidRDefault="005612B3" w:rsidP="005612B3">
      <w:pPr>
        <w:jc w:val="both"/>
      </w:pPr>
      <w:r w:rsidRPr="005612B3">
        <w:t>Le paiement est dû dès la validation de la commande, par les moyens proposés sur le Site</w:t>
      </w:r>
      <w:r>
        <w:t>.</w:t>
      </w:r>
    </w:p>
    <w:p w14:paraId="767A8C3C" w14:textId="77777777" w:rsidR="005612B3" w:rsidRPr="005612B3" w:rsidRDefault="005612B3" w:rsidP="005612B3">
      <w:pPr>
        <w:jc w:val="both"/>
      </w:pPr>
      <w:r w:rsidRPr="005612B3">
        <w:t>Le Client peut régler ses commandes par les moyens de paiement suivants :</w:t>
      </w:r>
    </w:p>
    <w:p w14:paraId="5662C638" w14:textId="77777777" w:rsidR="005612B3" w:rsidRPr="005612B3" w:rsidRDefault="005612B3" w:rsidP="005612B3">
      <w:pPr>
        <w:numPr>
          <w:ilvl w:val="0"/>
          <w:numId w:val="8"/>
        </w:numPr>
        <w:jc w:val="both"/>
      </w:pPr>
      <w:r w:rsidRPr="005612B3">
        <w:rPr>
          <w:b/>
          <w:bCs/>
        </w:rPr>
        <w:t>Carte Bancaire</w:t>
      </w:r>
      <w:r w:rsidRPr="005612B3">
        <w:t xml:space="preserve"> (Visa, MasterCard, etc., via une plateforme de paiement sécurisée).</w:t>
      </w:r>
    </w:p>
    <w:p w14:paraId="265B25E4" w14:textId="77777777" w:rsidR="005612B3" w:rsidRPr="005612B3" w:rsidRDefault="005612B3" w:rsidP="005612B3">
      <w:pPr>
        <w:numPr>
          <w:ilvl w:val="0"/>
          <w:numId w:val="8"/>
        </w:numPr>
        <w:jc w:val="both"/>
      </w:pPr>
      <w:r w:rsidRPr="005612B3">
        <w:rPr>
          <w:b/>
          <w:bCs/>
        </w:rPr>
        <w:t>Virement Bancaire</w:t>
      </w:r>
      <w:r w:rsidRPr="005612B3">
        <w:t xml:space="preserve"> (les coordonnées bancaires seront fournies lors de la confirmation de la commande ; la commande n'est validée et livrée qu'à réception du paiement sur le compte du Vendeur).</w:t>
      </w:r>
    </w:p>
    <w:p w14:paraId="11C9639D" w14:textId="77777777" w:rsidR="005612B3" w:rsidRPr="005612B3" w:rsidRDefault="005612B3" w:rsidP="005612B3">
      <w:pPr>
        <w:numPr>
          <w:ilvl w:val="0"/>
          <w:numId w:val="8"/>
        </w:numPr>
        <w:jc w:val="both"/>
      </w:pPr>
      <w:r w:rsidRPr="005612B3">
        <w:rPr>
          <w:b/>
          <w:bCs/>
        </w:rPr>
        <w:t>PayPal.</w:t>
      </w:r>
    </w:p>
    <w:p w14:paraId="75FF31F5" w14:textId="77777777" w:rsidR="005612B3" w:rsidRPr="005612B3" w:rsidRDefault="005612B3" w:rsidP="005612B3">
      <w:pPr>
        <w:jc w:val="both"/>
        <w:rPr>
          <w:b/>
          <w:bCs/>
        </w:rPr>
      </w:pPr>
      <w:r w:rsidRPr="005612B3">
        <w:rPr>
          <w:b/>
          <w:bCs/>
        </w:rPr>
        <w:t>4.2. Sécurité des Transactions</w:t>
      </w:r>
    </w:p>
    <w:p w14:paraId="70685D9D" w14:textId="4C296E42" w:rsidR="0053593E" w:rsidRPr="0053593E" w:rsidRDefault="005612B3" w:rsidP="0039535E">
      <w:pPr>
        <w:jc w:val="both"/>
      </w:pPr>
      <w:r w:rsidRPr="005612B3">
        <w:t>Le Vendeur utilise des systèmes de paiement sécurisés garantissant la confidentialité des données de paiement. Le Vendeur n'a jamais accès aux informations confidentielles du Client relatives au moyen de paiement.</w:t>
      </w:r>
    </w:p>
    <w:p w14:paraId="6EDC448C" w14:textId="77777777" w:rsidR="0053593E" w:rsidRPr="0053593E" w:rsidRDefault="0053593E" w:rsidP="0053593E">
      <w:pPr>
        <w:jc w:val="both"/>
        <w:rPr>
          <w:b/>
          <w:bCs/>
        </w:rPr>
      </w:pPr>
      <w:r w:rsidRPr="0053593E">
        <w:rPr>
          <w:b/>
          <w:bCs/>
        </w:rPr>
        <w:t>Article 5 – Livraison des E-books (Produits Numériques) et Droit de Rétractation</w:t>
      </w:r>
    </w:p>
    <w:p w14:paraId="083A0430" w14:textId="77777777" w:rsidR="0053593E" w:rsidRDefault="0053593E" w:rsidP="0053593E">
      <w:pPr>
        <w:jc w:val="both"/>
      </w:pPr>
      <w:r w:rsidRPr="0053593E">
        <w:t xml:space="preserve">5.1. La livraison des E-books s'effectue par la mise à disposition d'un lien de téléchargement après la confirmation du paiement. </w:t>
      </w:r>
    </w:p>
    <w:p w14:paraId="0E966830" w14:textId="2901D98F" w:rsidR="00705121" w:rsidRDefault="0053593E" w:rsidP="0053593E">
      <w:pPr>
        <w:jc w:val="both"/>
      </w:pPr>
      <w:r w:rsidRPr="0053593E">
        <w:t xml:space="preserve">5.2. </w:t>
      </w:r>
      <w:r w:rsidRPr="0053593E">
        <w:rPr>
          <w:b/>
          <w:bCs/>
        </w:rPr>
        <w:t>Absence de droit de rétractation :</w:t>
      </w:r>
      <w:r w:rsidRPr="0053593E">
        <w:t xml:space="preserve"> Conformément à l'article VI.53, 13° du Code de Droit Économique belge, le droit de rétractation ne peut être exercé pour la fourniture d'un </w:t>
      </w:r>
      <w:r w:rsidRPr="0053593E">
        <w:rPr>
          <w:b/>
          <w:bCs/>
        </w:rPr>
        <w:t>contenu numérique non fourni sur un support matériel</w:t>
      </w:r>
      <w:r w:rsidRPr="0053593E">
        <w:t xml:space="preserve"> (E-book) si l'exécution a commencé avec l'accord préalable exprès du consommateur et qu'il a </w:t>
      </w:r>
      <w:r w:rsidRPr="0053593E">
        <w:rPr>
          <w:b/>
          <w:bCs/>
        </w:rPr>
        <w:t>reconnu qu'il perdrait ainsi son droit de rétractation</w:t>
      </w:r>
      <w:r w:rsidRPr="0053593E">
        <w:t xml:space="preserve">. </w:t>
      </w:r>
    </w:p>
    <w:p w14:paraId="133E9A16" w14:textId="34BF6D4B" w:rsidR="0053593E" w:rsidRDefault="0053593E" w:rsidP="0053593E">
      <w:pPr>
        <w:jc w:val="both"/>
      </w:pPr>
      <w:r w:rsidRPr="0053593E">
        <w:t xml:space="preserve">5.3. </w:t>
      </w:r>
      <w:r w:rsidRPr="0053593E">
        <w:rPr>
          <w:b/>
          <w:bCs/>
        </w:rPr>
        <w:t>Conséquence :</w:t>
      </w:r>
      <w:r w:rsidRPr="0053593E">
        <w:t xml:space="preserve"> Les E-books téléchargés ou mis à disposition </w:t>
      </w:r>
      <w:r w:rsidRPr="0053593E">
        <w:rPr>
          <w:b/>
          <w:bCs/>
        </w:rPr>
        <w:t>ne sont ni repris ni échangés</w:t>
      </w:r>
      <w:r w:rsidRPr="0053593E">
        <w:t>.</w:t>
      </w:r>
    </w:p>
    <w:p w14:paraId="1AF74931" w14:textId="788A4A36" w:rsidR="0039535E" w:rsidRPr="00190957" w:rsidRDefault="00705121" w:rsidP="0039535E">
      <w:r>
        <w:t xml:space="preserve">5.4. </w:t>
      </w:r>
      <w:r w:rsidR="0039535E" w:rsidRPr="00190957">
        <w:t xml:space="preserve">Toutefois, Altus Élite propose une </w:t>
      </w:r>
      <w:r w:rsidR="0039535E" w:rsidRPr="00190957">
        <w:rPr>
          <w:b/>
          <w:bCs/>
        </w:rPr>
        <w:t>garantie satisfaction de 7 jours</w:t>
      </w:r>
      <w:r w:rsidR="0039535E" w:rsidRPr="00190957">
        <w:t>, permettant de demander un remboursement par simple email, sans justification</w:t>
      </w:r>
      <w:r w:rsidR="0039535E">
        <w:t>.</w:t>
      </w:r>
    </w:p>
    <w:p w14:paraId="020557C0" w14:textId="1BBF947A" w:rsidR="00705121" w:rsidRPr="0053593E" w:rsidRDefault="00705121" w:rsidP="0053593E">
      <w:pPr>
        <w:jc w:val="both"/>
      </w:pPr>
    </w:p>
    <w:p w14:paraId="63A9EEC5" w14:textId="77777777" w:rsidR="0053593E" w:rsidRPr="0053593E" w:rsidRDefault="0053593E" w:rsidP="0053593E">
      <w:pPr>
        <w:jc w:val="both"/>
        <w:rPr>
          <w:b/>
          <w:bCs/>
        </w:rPr>
      </w:pPr>
      <w:r w:rsidRPr="0053593E">
        <w:rPr>
          <w:b/>
          <w:bCs/>
        </w:rPr>
        <w:t>Article 6 – Propriété Intellectuelle (Copyright)</w:t>
      </w:r>
    </w:p>
    <w:p w14:paraId="1D53FF53" w14:textId="77777777" w:rsidR="0053593E" w:rsidRDefault="0053593E" w:rsidP="0053593E">
      <w:pPr>
        <w:jc w:val="both"/>
      </w:pPr>
      <w:r w:rsidRPr="0053593E">
        <w:t xml:space="preserve">6.1. Tous les E-books, contenus de coaching, textes, graphiques, vidéos et autres éléments disponibles sur le Site ou fournis par Le Vendeur sont la propriété exclusive du Vendeur ou de ses ayants droit. </w:t>
      </w:r>
    </w:p>
    <w:p w14:paraId="7D803430" w14:textId="77777777" w:rsidR="0053593E" w:rsidRDefault="0053593E" w:rsidP="0053593E">
      <w:pPr>
        <w:jc w:val="both"/>
      </w:pPr>
      <w:r w:rsidRPr="0053593E">
        <w:t xml:space="preserve">6.2. Le Vendeur accorde au Client une licence d'utilisation personnelle, non exclusive et non transférable. </w:t>
      </w:r>
    </w:p>
    <w:p w14:paraId="0939DEED" w14:textId="3A76E01B" w:rsidR="0053593E" w:rsidRPr="0053593E" w:rsidRDefault="0053593E" w:rsidP="0053593E">
      <w:pPr>
        <w:jc w:val="both"/>
      </w:pPr>
      <w:r w:rsidRPr="0053593E">
        <w:t xml:space="preserve">6.3. </w:t>
      </w:r>
      <w:r w:rsidRPr="0053593E">
        <w:rPr>
          <w:b/>
          <w:bCs/>
        </w:rPr>
        <w:t>Toute reproduction, diffusion, revente, utilisation commerciale ou partage non autorisé des E-books et du contenu est strictement interdit et constitue une violation du droit d'auteur (copyright).</w:t>
      </w:r>
      <w:r w:rsidRPr="0053593E">
        <w:t xml:space="preserve"> Le Client s'expose à des poursuites judiciaires en cas de contrefaçon.</w:t>
      </w:r>
    </w:p>
    <w:p w14:paraId="0C29D808" w14:textId="77777777" w:rsidR="0053593E" w:rsidRPr="0053593E" w:rsidRDefault="0053593E" w:rsidP="0053593E">
      <w:pPr>
        <w:jc w:val="both"/>
        <w:rPr>
          <w:b/>
          <w:bCs/>
        </w:rPr>
      </w:pPr>
      <w:r w:rsidRPr="0053593E">
        <w:rPr>
          <w:b/>
          <w:bCs/>
        </w:rPr>
        <w:t>Article 7 – Responsabilité</w:t>
      </w:r>
    </w:p>
    <w:p w14:paraId="3C516BA5" w14:textId="2FCFCAC7" w:rsidR="0053593E" w:rsidRPr="0053593E" w:rsidRDefault="0053593E" w:rsidP="0053593E">
      <w:pPr>
        <w:jc w:val="both"/>
      </w:pPr>
      <w:r w:rsidRPr="0053593E">
        <w:t>Le Vendeur met en œuvre tous les moyens raisonnables pour garantir la qualité de ses services et produits. Toutefois, l'atteinte de</w:t>
      </w:r>
      <w:r w:rsidR="007D2078">
        <w:t>s compétences</w:t>
      </w:r>
      <w:r w:rsidRPr="0053593E">
        <w:t xml:space="preserve"> dépend des efforts, de la situation personnelle </w:t>
      </w:r>
      <w:r w:rsidRPr="0053593E">
        <w:lastRenderedPageBreak/>
        <w:t>et des actions du Client, et Le Vendeur ne peut garantir l'obtention de résultats spécifiques. Le Vendeur ne saurait être tenu responsable des dommages indirects.</w:t>
      </w:r>
    </w:p>
    <w:p w14:paraId="1A9B7063" w14:textId="77777777" w:rsidR="0053593E" w:rsidRPr="0053593E" w:rsidRDefault="0053593E" w:rsidP="0053593E">
      <w:pPr>
        <w:jc w:val="both"/>
        <w:rPr>
          <w:b/>
          <w:bCs/>
        </w:rPr>
      </w:pPr>
      <w:r w:rsidRPr="0053593E">
        <w:rPr>
          <w:b/>
          <w:bCs/>
        </w:rPr>
        <w:t>Article 8 – Données Personnelles (RGPD)</w:t>
      </w:r>
    </w:p>
    <w:p w14:paraId="58333877" w14:textId="77777777" w:rsidR="0053593E" w:rsidRPr="0053593E" w:rsidRDefault="0053593E" w:rsidP="0053593E">
      <w:pPr>
        <w:jc w:val="both"/>
      </w:pPr>
      <w:r w:rsidRPr="0053593E">
        <w:t xml:space="preserve">Le Vendeur s'engage à traiter les données personnelles du Client conformément à la législation belge et européenne en vigueur (RGPD). Une </w:t>
      </w:r>
      <w:r w:rsidRPr="0053593E">
        <w:rPr>
          <w:b/>
          <w:bCs/>
        </w:rPr>
        <w:t>politique de confidentialité</w:t>
      </w:r>
      <w:r w:rsidRPr="0053593E">
        <w:t xml:space="preserve"> complète est disponible sur le Site.</w:t>
      </w:r>
    </w:p>
    <w:p w14:paraId="400A1767" w14:textId="77777777" w:rsidR="0053593E" w:rsidRPr="0053593E" w:rsidRDefault="0053593E" w:rsidP="0053593E">
      <w:pPr>
        <w:jc w:val="both"/>
        <w:rPr>
          <w:b/>
          <w:bCs/>
        </w:rPr>
      </w:pPr>
      <w:r w:rsidRPr="0053593E">
        <w:rPr>
          <w:b/>
          <w:bCs/>
        </w:rPr>
        <w:t>Article 9 – Droit Applicable et Litiges</w:t>
      </w:r>
    </w:p>
    <w:p w14:paraId="69BA69C2" w14:textId="77777777" w:rsidR="0053593E" w:rsidRDefault="0053593E" w:rsidP="0053593E">
      <w:pPr>
        <w:jc w:val="both"/>
      </w:pPr>
      <w:r w:rsidRPr="0053593E">
        <w:t xml:space="preserve">9.1. Les présentes CGV sont soumises au </w:t>
      </w:r>
      <w:r w:rsidRPr="0053593E">
        <w:rPr>
          <w:b/>
          <w:bCs/>
        </w:rPr>
        <w:t>droit belge</w:t>
      </w:r>
      <w:r w:rsidRPr="0053593E">
        <w:t xml:space="preserve">. </w:t>
      </w:r>
    </w:p>
    <w:p w14:paraId="5E30B304" w14:textId="0B001F6F" w:rsidR="0053593E" w:rsidRPr="0053593E" w:rsidRDefault="0053593E" w:rsidP="0053593E">
      <w:pPr>
        <w:jc w:val="both"/>
      </w:pPr>
      <w:r w:rsidRPr="0053593E">
        <w:t xml:space="preserve">9.2. En cas de litige, les tribunaux de l'arrondissement judiciaire de </w:t>
      </w:r>
      <w:r>
        <w:t xml:space="preserve">Namur </w:t>
      </w:r>
      <w:r w:rsidRPr="0053593E">
        <w:t>sont seuls compétents, après tentative de résolution amiable.</w:t>
      </w:r>
    </w:p>
    <w:p w14:paraId="2C464835" w14:textId="09D9434A" w:rsidR="005612B3" w:rsidRPr="005612B3" w:rsidRDefault="005612B3" w:rsidP="005612B3">
      <w:pPr>
        <w:rPr>
          <w:b/>
          <w:bCs/>
        </w:rPr>
      </w:pPr>
      <w:r w:rsidRPr="005612B3">
        <w:t xml:space="preserve">En cas de litige entre le Client et le Vendeur, et après une tentative de règlement amiable (notification par écrit), le Client a la possibilité de recourir à une procédure de médiation conformément à la législation belge. Les coordonnées de l'entité de Règlement Extrajudiciaire des Litiges compétente pour votre secteur en Belgique peuvent être obtenues auprès du </w:t>
      </w:r>
      <w:r w:rsidRPr="005612B3">
        <w:rPr>
          <w:b/>
          <w:bCs/>
        </w:rPr>
        <w:t>Service de médiation pour le Consommateur (Service Fédéral des Affaires Économiques)</w:t>
      </w:r>
      <w:r>
        <w:rPr>
          <w:b/>
          <w:bCs/>
        </w:rPr>
        <w:t xml:space="preserve"> </w:t>
      </w:r>
      <w:r w:rsidRPr="005612B3">
        <w:rPr>
          <w:b/>
          <w:bCs/>
        </w:rPr>
        <w:t>https://www.mediationconsommateur.be/</w:t>
      </w:r>
    </w:p>
    <w:sectPr w:rsidR="005612B3" w:rsidRPr="005612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6373B"/>
    <w:multiLevelType w:val="multilevel"/>
    <w:tmpl w:val="31388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2872EB"/>
    <w:multiLevelType w:val="multilevel"/>
    <w:tmpl w:val="FFC82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E85EC6"/>
    <w:multiLevelType w:val="multilevel"/>
    <w:tmpl w:val="2CFAE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5F3555"/>
    <w:multiLevelType w:val="multilevel"/>
    <w:tmpl w:val="6EA89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42571E"/>
    <w:multiLevelType w:val="multilevel"/>
    <w:tmpl w:val="C5F4B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797693"/>
    <w:multiLevelType w:val="multilevel"/>
    <w:tmpl w:val="8C8C3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4A55AA"/>
    <w:multiLevelType w:val="multilevel"/>
    <w:tmpl w:val="2F8EA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547824"/>
    <w:multiLevelType w:val="multilevel"/>
    <w:tmpl w:val="A1966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594564"/>
    <w:multiLevelType w:val="multilevel"/>
    <w:tmpl w:val="BA12D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3224524">
    <w:abstractNumId w:val="5"/>
  </w:num>
  <w:num w:numId="2" w16cid:durableId="212161731">
    <w:abstractNumId w:val="2"/>
  </w:num>
  <w:num w:numId="3" w16cid:durableId="722756249">
    <w:abstractNumId w:val="7"/>
  </w:num>
  <w:num w:numId="4" w16cid:durableId="293677927">
    <w:abstractNumId w:val="1"/>
  </w:num>
  <w:num w:numId="5" w16cid:durableId="1909534989">
    <w:abstractNumId w:val="3"/>
  </w:num>
  <w:num w:numId="6" w16cid:durableId="2074502693">
    <w:abstractNumId w:val="8"/>
  </w:num>
  <w:num w:numId="7" w16cid:durableId="1730686316">
    <w:abstractNumId w:val="6"/>
  </w:num>
  <w:num w:numId="8" w16cid:durableId="1833331028">
    <w:abstractNumId w:val="4"/>
  </w:num>
  <w:num w:numId="9" w16cid:durableId="1155924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93E"/>
    <w:rsid w:val="00016693"/>
    <w:rsid w:val="002B2209"/>
    <w:rsid w:val="002F17E0"/>
    <w:rsid w:val="00302E51"/>
    <w:rsid w:val="0039535E"/>
    <w:rsid w:val="0053593E"/>
    <w:rsid w:val="005612B3"/>
    <w:rsid w:val="005947EE"/>
    <w:rsid w:val="00705121"/>
    <w:rsid w:val="007842B9"/>
    <w:rsid w:val="007D2078"/>
    <w:rsid w:val="007D64AE"/>
    <w:rsid w:val="00855D6F"/>
    <w:rsid w:val="008F6F45"/>
    <w:rsid w:val="00981BCF"/>
    <w:rsid w:val="00BB42E1"/>
    <w:rsid w:val="00BC6B82"/>
    <w:rsid w:val="00C35CAF"/>
    <w:rsid w:val="00CF0E18"/>
    <w:rsid w:val="00D157ED"/>
    <w:rsid w:val="00F60BF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8BEB2"/>
  <w15:chartTrackingRefBased/>
  <w15:docId w15:val="{12BDA9C9-6D7B-4083-8FF3-5C1912688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359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359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3593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3593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3593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3593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3593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3593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3593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3593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3593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3593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3593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3593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3593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3593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3593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3593E"/>
    <w:rPr>
      <w:rFonts w:eastAsiaTheme="majorEastAsia" w:cstheme="majorBidi"/>
      <w:color w:val="272727" w:themeColor="text1" w:themeTint="D8"/>
    </w:rPr>
  </w:style>
  <w:style w:type="paragraph" w:styleId="Titre">
    <w:name w:val="Title"/>
    <w:basedOn w:val="Normal"/>
    <w:next w:val="Normal"/>
    <w:link w:val="TitreCar"/>
    <w:uiPriority w:val="10"/>
    <w:qFormat/>
    <w:rsid w:val="005359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3593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3593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3593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3593E"/>
    <w:pPr>
      <w:spacing w:before="160"/>
      <w:jc w:val="center"/>
    </w:pPr>
    <w:rPr>
      <w:i/>
      <w:iCs/>
      <w:color w:val="404040" w:themeColor="text1" w:themeTint="BF"/>
    </w:rPr>
  </w:style>
  <w:style w:type="character" w:customStyle="1" w:styleId="CitationCar">
    <w:name w:val="Citation Car"/>
    <w:basedOn w:val="Policepardfaut"/>
    <w:link w:val="Citation"/>
    <w:uiPriority w:val="29"/>
    <w:rsid w:val="0053593E"/>
    <w:rPr>
      <w:i/>
      <w:iCs/>
      <w:color w:val="404040" w:themeColor="text1" w:themeTint="BF"/>
    </w:rPr>
  </w:style>
  <w:style w:type="paragraph" w:styleId="Paragraphedeliste">
    <w:name w:val="List Paragraph"/>
    <w:basedOn w:val="Normal"/>
    <w:uiPriority w:val="34"/>
    <w:qFormat/>
    <w:rsid w:val="0053593E"/>
    <w:pPr>
      <w:ind w:left="720"/>
      <w:contextualSpacing/>
    </w:pPr>
  </w:style>
  <w:style w:type="character" w:styleId="Accentuationintense">
    <w:name w:val="Intense Emphasis"/>
    <w:basedOn w:val="Policepardfaut"/>
    <w:uiPriority w:val="21"/>
    <w:qFormat/>
    <w:rsid w:val="0053593E"/>
    <w:rPr>
      <w:i/>
      <w:iCs/>
      <w:color w:val="0F4761" w:themeColor="accent1" w:themeShade="BF"/>
    </w:rPr>
  </w:style>
  <w:style w:type="paragraph" w:styleId="Citationintense">
    <w:name w:val="Intense Quote"/>
    <w:basedOn w:val="Normal"/>
    <w:next w:val="Normal"/>
    <w:link w:val="CitationintenseCar"/>
    <w:uiPriority w:val="30"/>
    <w:qFormat/>
    <w:rsid w:val="005359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3593E"/>
    <w:rPr>
      <w:i/>
      <w:iCs/>
      <w:color w:val="0F4761" w:themeColor="accent1" w:themeShade="BF"/>
    </w:rPr>
  </w:style>
  <w:style w:type="character" w:styleId="Rfrenceintense">
    <w:name w:val="Intense Reference"/>
    <w:basedOn w:val="Policepardfaut"/>
    <w:uiPriority w:val="32"/>
    <w:qFormat/>
    <w:rsid w:val="005359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3</Pages>
  <Words>864</Words>
  <Characters>4752</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perin</dc:creator>
  <cp:keywords/>
  <dc:description/>
  <cp:lastModifiedBy>stephanie perin</cp:lastModifiedBy>
  <cp:revision>12</cp:revision>
  <dcterms:created xsi:type="dcterms:W3CDTF">2025-10-30T06:55:00Z</dcterms:created>
  <dcterms:modified xsi:type="dcterms:W3CDTF">2026-01-04T10:13:00Z</dcterms:modified>
</cp:coreProperties>
</file>